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3C33DE" w:rsidRDefault="00052BCC" w:rsidP="003C33DE">
      <w:pPr>
        <w:pStyle w:val="SemEspaamento"/>
      </w:pPr>
    </w:p>
    <w:p w14:paraId="1211E68C" w14:textId="77777777" w:rsidR="00B83FA2" w:rsidRDefault="00B83FA2" w:rsidP="00052BCC">
      <w:pPr>
        <w:jc w:val="center"/>
        <w:rPr>
          <w:rFonts w:ascii="Arial" w:hAnsi="Arial" w:cs="Arial"/>
          <w:b/>
          <w:bCs/>
        </w:rPr>
      </w:pPr>
    </w:p>
    <w:p w14:paraId="5103ED6B" w14:textId="498BC503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18359CF3" w:rsidR="00715EDC" w:rsidRPr="00D403FC" w:rsidRDefault="00957CC8" w:rsidP="00681746">
      <w:pPr>
        <w:spacing w:line="360" w:lineRule="auto"/>
        <w:jc w:val="both"/>
      </w:pPr>
      <w:r w:rsidRPr="00C8202D">
        <w:t xml:space="preserve">Aos </w:t>
      </w:r>
      <w:r w:rsidR="00B2023A">
        <w:t>1</w:t>
      </w:r>
      <w:r w:rsidR="00360C77">
        <w:t>0</w:t>
      </w:r>
      <w:r w:rsidR="00B67010" w:rsidRPr="00C8202D">
        <w:t xml:space="preserve"> </w:t>
      </w:r>
      <w:r w:rsidR="00B00389" w:rsidRPr="00C8202D">
        <w:t xml:space="preserve">de </w:t>
      </w:r>
      <w:r w:rsidR="00B2023A">
        <w:t>março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3845C2">
        <w:t>3</w:t>
      </w:r>
      <w:r w:rsidR="00B00389" w:rsidRPr="00C8202D">
        <w:t>:00 horas, na sede do Instituto de Previdência dos Servidores Públicos do Município de Guanhães – GuanhãesPrev, situado a Rua Monsenhor Pinheiro, nº 101, centro, Guanhães/MG, reuniu-se o Comitê de Investimento do Instituto,</w:t>
      </w:r>
      <w:r w:rsidR="00BA35B1">
        <w:t xml:space="preserve">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Silva</w:t>
      </w:r>
      <w:r w:rsidR="00BA35B1">
        <w:t xml:space="preserve">, </w:t>
      </w:r>
      <w:r w:rsidR="00BA35B1" w:rsidRPr="00C8202D">
        <w:t>Francielle Elgita de Oliveira Costa</w:t>
      </w:r>
      <w:r w:rsidR="00BA35B1">
        <w:t xml:space="preserve">, </w:t>
      </w:r>
      <w:r w:rsidR="00BA35B1" w:rsidRPr="00C8202D">
        <w:t xml:space="preserve">Márcia Helena Pires Reis </w:t>
      </w:r>
      <w:r w:rsidR="00BA35B1">
        <w:t xml:space="preserve">e </w:t>
      </w:r>
      <w:r w:rsidR="00B00389" w:rsidRPr="00C8202D">
        <w:t>Rosimery Aparecida Inácio de Pinho Procópio</w:t>
      </w:r>
      <w:r w:rsidR="00D119C1">
        <w:t>.</w:t>
      </w:r>
      <w:r w:rsidR="00580587" w:rsidRPr="00C8202D">
        <w:t xml:space="preserve"> </w:t>
      </w:r>
      <w:r w:rsidR="00D119C1">
        <w:t xml:space="preserve">Também participou </w:t>
      </w:r>
      <w:r w:rsidR="00D119C1" w:rsidRPr="00C8202D">
        <w:t>Ro</w:t>
      </w:r>
      <w:r w:rsidR="00EE7DDD">
        <w:t>d</w:t>
      </w:r>
      <w:r w:rsidR="00D119C1" w:rsidRPr="00C8202D">
        <w:t>ol</w:t>
      </w:r>
      <w:r w:rsidR="00287591">
        <w:t>ph</w:t>
      </w:r>
      <w:r w:rsidR="00D119C1" w:rsidRPr="00C8202D">
        <w:t>o</w:t>
      </w:r>
      <w:r w:rsidR="00C8202D">
        <w:t xml:space="preserve"> </w:t>
      </w:r>
      <w:r w:rsidR="000F1624" w:rsidRPr="00C8202D">
        <w:t xml:space="preserve">representante </w:t>
      </w:r>
      <w:r w:rsidR="00D119C1" w:rsidRPr="00C8202D">
        <w:t xml:space="preserve">da </w:t>
      </w:r>
      <w:r w:rsidR="00AB1D0C">
        <w:t xml:space="preserve">Lema </w:t>
      </w:r>
      <w:r w:rsidR="00D119C1" w:rsidRPr="00C8202D">
        <w:t>Assessoria</w:t>
      </w:r>
      <w:r w:rsidR="000F1624" w:rsidRPr="00C8202D">
        <w:t xml:space="preserve"> de Investimento</w:t>
      </w:r>
      <w:r w:rsidR="00AB1D0C">
        <w:t xml:space="preserve">s </w:t>
      </w:r>
      <w:r w:rsidR="003250CC">
        <w:t>de forma remota</w:t>
      </w:r>
      <w:r w:rsidR="00666BBA">
        <w:t xml:space="preserve">. </w:t>
      </w:r>
      <w:r w:rsidR="009A0070">
        <w:t xml:space="preserve"> </w:t>
      </w:r>
      <w:r w:rsidR="00AB1D0C">
        <w:t xml:space="preserve">Francielle abriu a reunião dando </w:t>
      </w:r>
      <w:r w:rsidR="009B4279">
        <w:t>boas-vindas</w:t>
      </w:r>
      <w:r w:rsidR="00AB1D0C">
        <w:t xml:space="preserve"> a todos e informou que a reunião é a de </w:t>
      </w:r>
      <w:r w:rsidR="00B2023A">
        <w:t>apresentação dos cenários econômicos para termos base no planejamento dos inve</w:t>
      </w:r>
      <w:r w:rsidR="00103155">
        <w:t>s</w:t>
      </w:r>
      <w:r w:rsidR="00B2023A">
        <w:t>timentos</w:t>
      </w:r>
      <w:r w:rsidR="00B212EC">
        <w:t xml:space="preserve"> deste mês de março</w:t>
      </w:r>
      <w:r w:rsidR="00AB1D0C">
        <w:t xml:space="preserve">. Em seguida, passou a palavra para o </w:t>
      </w:r>
      <w:r w:rsidR="003C33DE">
        <w:t xml:space="preserve">Rodolpho </w:t>
      </w:r>
      <w:r w:rsidR="00AB1D0C">
        <w:t xml:space="preserve">que </w:t>
      </w:r>
      <w:r w:rsidR="003C33DE">
        <w:t xml:space="preserve">começou falando </w:t>
      </w:r>
      <w:r w:rsidR="00AB1D0C">
        <w:t>sobre o cenário internacional</w:t>
      </w:r>
      <w:r w:rsidR="00B212EC">
        <w:t xml:space="preserve"> informando q</w:t>
      </w:r>
      <w:r w:rsidR="00D403FC">
        <w:t>ue a economia dos Estados Unidos demonstrou sinais de desaceleração, por causa das tensões comerciais e revisão para baixo do crescimento,</w:t>
      </w:r>
      <w:r w:rsidR="00D403FC">
        <w:t xml:space="preserve"> </w:t>
      </w:r>
      <w:r w:rsidR="00D403FC" w:rsidRPr="00D403FC">
        <w:t xml:space="preserve">destacou-se o impacto das tarifas comerciais impostas pelos Estados Unidos, sob a política de Donald Trump, sobre importações da China, Canadá, México, União Europeia e demais países exportadores, com reflexo direto nos índices de inflação (PCE e CPI) e na atividade econômica global. </w:t>
      </w:r>
      <w:r w:rsidR="00B212EC">
        <w:t>Que o</w:t>
      </w:r>
      <w:r w:rsidR="00D403FC" w:rsidRPr="00D403FC">
        <w:t xml:space="preserve"> PMI dos EUA indicou leve crescimento, enquanto o payroll apresentou flutuações expressivas. </w:t>
      </w:r>
      <w:r w:rsidR="00B212EC">
        <w:t>Que n</w:t>
      </w:r>
      <w:r w:rsidR="00D403FC">
        <w:t xml:space="preserve">a zona do euro teve expansão modesta </w:t>
      </w:r>
      <w:r w:rsidR="00D403FC">
        <w:t xml:space="preserve">e </w:t>
      </w:r>
      <w:r w:rsidR="00D403FC" w:rsidRPr="00D403FC">
        <w:t xml:space="preserve">mostrou desaceleração da atividade industrial e inflação sob controle, mas com desemprego ainda elevado. </w:t>
      </w:r>
      <w:r w:rsidR="00B212EC">
        <w:t>Que n</w:t>
      </w:r>
      <w:r w:rsidR="00D403FC" w:rsidRPr="00D403FC">
        <w:t>a China, os dados indicaram estabilidade no PMI, com inflação levemente negativa, apontando deflação</w:t>
      </w:r>
      <w:r w:rsidR="00D403FC">
        <w:t xml:space="preserve"> e ainda</w:t>
      </w:r>
      <w:r w:rsidR="00D403FC">
        <w:t xml:space="preserve"> enfrenta desafios no setor imobiliário</w:t>
      </w:r>
      <w:r w:rsidR="00D403FC">
        <w:t>.</w:t>
      </w:r>
      <w:r w:rsidR="00D403FC" w:rsidRPr="00D403FC">
        <w:t xml:space="preserve"> </w:t>
      </w:r>
      <w:r w:rsidR="00B212EC">
        <w:t>Que o</w:t>
      </w:r>
      <w:r w:rsidR="00D403FC" w:rsidRPr="00D403FC">
        <w:t xml:space="preserve"> petróleo registrou queda no ano de 3,41%, e o dólar apresentou variações negativas tanto frente ao real quanto ao índice DXY, indicando enfraquecimento da moeda americana. No cenário nacional, </w:t>
      </w:r>
      <w:r w:rsidR="00B212EC">
        <w:t xml:space="preserve">a economia </w:t>
      </w:r>
      <w:r w:rsidR="00D403FC">
        <w:t>enfrenta desafios no setor imo</w:t>
      </w:r>
      <w:r w:rsidR="00B212EC">
        <w:t>biliário e que o</w:t>
      </w:r>
      <w:r w:rsidR="00D403FC">
        <w:t xml:space="preserve"> IPCA de fevereiro subiu 1,31%. Que n</w:t>
      </w:r>
      <w:r w:rsidR="00D403FC" w:rsidRPr="00360C77">
        <w:t xml:space="preserve">o mês, todos os nove grupos de produtos e serviços pesquisados pelo IPCA registraram alta em seus preços. </w:t>
      </w:r>
      <w:r w:rsidR="00B212EC">
        <w:t>Que o</w:t>
      </w:r>
      <w:r w:rsidR="00D403FC" w:rsidRPr="00360C77">
        <w:t xml:space="preserve"> grupo Educação apresentou a maior variação ao subir 4,70%, impactando o indicador em 0,28 p.p., impulsionado pela alta de 5,69% dos cursos regulares, decorrente dos reajustes praticados no início do ano letivo.</w:t>
      </w:r>
      <w:r w:rsidR="00D403FC">
        <w:t xml:space="preserve"> </w:t>
      </w:r>
      <w:r w:rsidR="00D403FC" w:rsidRPr="00360C77">
        <w:t>Em seguida, o grupo Habitação contribuiu com o maior impacto no indicador (0,65 p.p.) ao variar 4,44%. O avanço do grupo foi influenciado pela alta de 16,80% da energia elétrica residencial, representando o subitem com o maior impacto positivo no índice (0,56 p.p.).</w:t>
      </w:r>
      <w:r w:rsidR="00D403FC">
        <w:t xml:space="preserve"> </w:t>
      </w:r>
      <w:r w:rsidR="00B212EC">
        <w:t>Que o</w:t>
      </w:r>
      <w:r w:rsidR="00D403FC">
        <w:t xml:space="preserve"> PIB brasileiro cresceu 3,6% no quarto trimestre de 2024. </w:t>
      </w:r>
      <w:r w:rsidR="00B212EC">
        <w:t>Que e</w:t>
      </w:r>
      <w:r w:rsidR="00D403FC">
        <w:t xml:space="preserve">m fevereiro, a economia registrou aceleração na prévia de inflação e um leve aumento </w:t>
      </w:r>
      <w:r w:rsidR="00D403FC">
        <w:lastRenderedPageBreak/>
        <w:t>no desemprego</w:t>
      </w:r>
      <w:r w:rsidR="00D403FC">
        <w:t xml:space="preserve"> </w:t>
      </w:r>
      <w:r w:rsidR="00D403FC" w:rsidRPr="00D403FC">
        <w:t>embora com vagas de qualidade questionável, e uma inflação acumulada que alcançou 5,48% em fevereiro, a maior alta desde 2016 no IPCA-15</w:t>
      </w:r>
      <w:r w:rsidR="00D403FC">
        <w:t>.</w:t>
      </w:r>
      <w:r w:rsidR="00D403FC">
        <w:t xml:space="preserve"> </w:t>
      </w:r>
      <w:r w:rsidR="00D403FC" w:rsidRPr="00360C77">
        <w:t>Dentre os demais grupos, Alimentação e bebidas (0,70%) e Transportes (0,61%) também se destacaram em fevereiro. Juntos, os quatro grupos mencionados respondem por 92% do IPCA de fevereiro.</w:t>
      </w:r>
      <w:r w:rsidR="00D403FC">
        <w:t xml:space="preserve"> </w:t>
      </w:r>
      <w:r w:rsidR="00B212EC">
        <w:t>Que o</w:t>
      </w:r>
      <w:r w:rsidR="00D403FC" w:rsidRPr="00D403FC">
        <w:t xml:space="preserve"> PMI nacional indicou retomada da atividade econômica, mas a confiança do consumidor caiu pelo terceiro mês consecutivo, atingindo o menor nível desde 2022. </w:t>
      </w:r>
      <w:r w:rsidR="00B212EC">
        <w:t>Que a</w:t>
      </w:r>
      <w:r w:rsidR="00D403FC" w:rsidRPr="00D403FC">
        <w:t xml:space="preserve"> balança comercial registrou déficit de US$ 323,7 milhões em fevereiro, enquanto o PIB nacional acumulado registrou alta de 3,40%. O Ibovespa teve queda de 2,52% em fevereiro, mas com alta acumulada de 2,09% no ano. </w:t>
      </w:r>
      <w:r w:rsidR="00B212EC">
        <w:t>Que a</w:t>
      </w:r>
      <w:r w:rsidR="00D403FC" w:rsidRPr="00D403FC">
        <w:t xml:space="preserve"> curva de juros permaneceu elevada, com perspectiva de taxa Selic a 15% até 2025.</w:t>
      </w:r>
      <w:r w:rsidR="00D403FC">
        <w:t xml:space="preserve"> </w:t>
      </w:r>
      <w:r w:rsidR="00D403FC" w:rsidRPr="00D403FC">
        <w:t xml:space="preserve">Quanto aos investimentos, a maioria dos índices apresentou desempenho positivo, com destaque para o CDI e os índices IRF-M e IMA-B. Entretanto, ativos internacionais como S&amp;P 500 e BDRX apresentaram desempenho negativo no mês. </w:t>
      </w:r>
      <w:r w:rsidR="00D403FC">
        <w:t>Diante de todo o exposto a</w:t>
      </w:r>
      <w:r w:rsidR="00D403FC" w:rsidRPr="00D403FC">
        <w:t xml:space="preserve"> reunião foi concluída com o compromisso de monitoramento contínuo dos indicadores macroeconômicos, seus impactos nas carteiras, e a adoção de estratégias alinhadas à preservação do equilíbrio atuarial e à política de investimentos vigente</w:t>
      </w:r>
      <w:r w:rsidR="00B212EC">
        <w:t xml:space="preserve"> e ainda a conclusão do nosso estudo de ALM para fazermos realocações que agreguem valor e liquidez à nossa carteira</w:t>
      </w:r>
      <w:r w:rsidR="00D403FC" w:rsidRPr="00D403FC">
        <w:t>.</w:t>
      </w:r>
      <w:r w:rsidR="00D403FC">
        <w:t xml:space="preserve"> </w:t>
      </w:r>
      <w:r w:rsidR="00A60BFE">
        <w:t>Nada mais havendo a tratar</w:t>
      </w:r>
      <w:r w:rsidR="006902AC">
        <w:t xml:space="preserve">, </w:t>
      </w:r>
      <w:r w:rsidR="005405F9">
        <w:t>Francielle</w:t>
      </w:r>
      <w:r w:rsidR="00681746">
        <w:t>,</w:t>
      </w:r>
      <w:r w:rsidR="00E25891" w:rsidRPr="00C8202D">
        <w:t xml:space="preserve"> </w:t>
      </w:r>
      <w:r w:rsidR="00681746">
        <w:t>P</w:t>
      </w:r>
      <w:r w:rsidR="00E25891" w:rsidRPr="00C8202D">
        <w:t xml:space="preserve">residente do </w:t>
      </w:r>
      <w:r w:rsidR="00681746">
        <w:t>C</w:t>
      </w:r>
      <w:r w:rsidR="00E25891" w:rsidRPr="00C8202D">
        <w:t>omitê</w:t>
      </w:r>
      <w:r w:rsidR="00681746">
        <w:t xml:space="preserve"> de Investimento</w:t>
      </w:r>
      <w:r w:rsidR="00E25891" w:rsidRPr="00C8202D">
        <w:t>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Cláudia Aparecida Monteiro dos santos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</w:t>
      </w:r>
      <w:r w:rsidR="00715EDC" w:rsidRPr="00746E38">
        <w:rPr>
          <w:rFonts w:cstheme="minorHAnsi"/>
          <w:sz w:val="24"/>
          <w:szCs w:val="24"/>
        </w:rPr>
        <w:t xml:space="preserve">. Guanhães, </w:t>
      </w:r>
      <w:r w:rsidR="00D403FC">
        <w:rPr>
          <w:rFonts w:cstheme="minorHAnsi"/>
          <w:sz w:val="24"/>
          <w:szCs w:val="24"/>
        </w:rPr>
        <w:t>10 de março</w:t>
      </w:r>
      <w:r w:rsidR="00681746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>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6F117879" w14:textId="77777777" w:rsidR="00B83FA2" w:rsidRDefault="00B83FA2" w:rsidP="00B83FA2">
      <w:pPr>
        <w:pStyle w:val="SemEspaamento"/>
      </w:pPr>
    </w:p>
    <w:p w14:paraId="45558FCC" w14:textId="77777777" w:rsidR="00EC0891" w:rsidRDefault="00EC0891" w:rsidP="00B83FA2">
      <w:pPr>
        <w:pStyle w:val="SemEspaamento"/>
      </w:pPr>
    </w:p>
    <w:p w14:paraId="16AF05F6" w14:textId="167A5B69" w:rsidR="00B83FA2" w:rsidRDefault="00B83FA2" w:rsidP="00B83FA2">
      <w:pPr>
        <w:pStyle w:val="SemEspaamento"/>
      </w:pPr>
      <w:r w:rsidRPr="00A41A3C">
        <w:t xml:space="preserve">            Francielle E. de O. Costa                                          Daniel Fernando da Silva      </w:t>
      </w:r>
    </w:p>
    <w:p w14:paraId="53845A80" w14:textId="77777777" w:rsidR="00B83FA2" w:rsidRPr="00A41A3C" w:rsidRDefault="00B83FA2" w:rsidP="00B83FA2">
      <w:pPr>
        <w:pStyle w:val="SemEspaamento"/>
      </w:pPr>
      <w:r w:rsidRPr="00A41A3C">
        <w:t xml:space="preserve"> Presidente do Comitê/Gestor Recursos</w:t>
      </w:r>
      <w:r w:rsidRPr="00A41A3C">
        <w:tab/>
        <w:t xml:space="preserve">                                         Membro</w:t>
      </w:r>
    </w:p>
    <w:p w14:paraId="1790B9D1" w14:textId="77777777" w:rsidR="00B83FA2" w:rsidRPr="00A41A3C" w:rsidRDefault="00B83FA2" w:rsidP="00B83FA2">
      <w:pPr>
        <w:pStyle w:val="SemEspaamento"/>
      </w:pPr>
      <w:r w:rsidRPr="00A41A3C">
        <w:t xml:space="preserve"> </w:t>
      </w:r>
    </w:p>
    <w:p w14:paraId="26354E2F" w14:textId="77777777" w:rsidR="00B83FA2" w:rsidRPr="00A41A3C" w:rsidRDefault="00B83FA2" w:rsidP="00B83FA2">
      <w:pPr>
        <w:pStyle w:val="SemEspaamento"/>
      </w:pPr>
    </w:p>
    <w:p w14:paraId="660530F2" w14:textId="77777777" w:rsidR="00B83FA2" w:rsidRPr="00A41A3C" w:rsidRDefault="00B83FA2" w:rsidP="00B83FA2">
      <w:pPr>
        <w:pStyle w:val="SemEspaamento"/>
      </w:pPr>
    </w:p>
    <w:p w14:paraId="7033A5E1" w14:textId="77777777" w:rsidR="00B83FA2" w:rsidRPr="00A41A3C" w:rsidRDefault="00B83FA2" w:rsidP="00B83FA2">
      <w:pPr>
        <w:pStyle w:val="SemEspaamento"/>
      </w:pPr>
    </w:p>
    <w:p w14:paraId="086F8D25" w14:textId="2D3FA9D8" w:rsidR="00B83FA2" w:rsidRPr="00A41A3C" w:rsidRDefault="00B83FA2" w:rsidP="00B83FA2">
      <w:pPr>
        <w:pStyle w:val="SemEspaamento"/>
      </w:pPr>
      <w:r w:rsidRPr="00A41A3C">
        <w:t xml:space="preserve">Rosimery Ap. Inácio de Pinho Procópio                       </w:t>
      </w:r>
      <w:r w:rsidR="00D403FC">
        <w:t xml:space="preserve">     </w:t>
      </w:r>
      <w:r w:rsidRPr="00A41A3C">
        <w:t xml:space="preserve">  Márcia Helena Pires Reis                 </w:t>
      </w:r>
    </w:p>
    <w:p w14:paraId="3A868734" w14:textId="328CD00C" w:rsidR="00B83FA2" w:rsidRPr="00A41A3C" w:rsidRDefault="00B83FA2" w:rsidP="00B83FA2">
      <w:pPr>
        <w:pStyle w:val="SemEspaamento"/>
      </w:pPr>
      <w:r w:rsidRPr="00A41A3C">
        <w:t xml:space="preserve">                   </w:t>
      </w:r>
      <w:r>
        <w:t xml:space="preserve">  </w:t>
      </w:r>
      <w:r w:rsidR="00034270">
        <w:t xml:space="preserve"> </w:t>
      </w:r>
      <w:r w:rsidRPr="00A41A3C">
        <w:t xml:space="preserve"> Membro                                              </w:t>
      </w:r>
      <w:r w:rsidR="00D403FC">
        <w:t xml:space="preserve">     </w:t>
      </w:r>
      <w:r w:rsidR="00034270">
        <w:t xml:space="preserve">                      </w:t>
      </w:r>
      <w:proofErr w:type="spellStart"/>
      <w:r w:rsidR="00034270">
        <w:t>Membro</w:t>
      </w:r>
      <w:proofErr w:type="spellEnd"/>
    </w:p>
    <w:p w14:paraId="55FDA9A9" w14:textId="77777777" w:rsidR="00B83FA2" w:rsidRPr="00A41A3C" w:rsidRDefault="00B83FA2" w:rsidP="00B83FA2">
      <w:pPr>
        <w:pStyle w:val="SemEspaamento"/>
      </w:pPr>
    </w:p>
    <w:p w14:paraId="7F629514" w14:textId="77777777" w:rsidR="00B83FA2" w:rsidRPr="00A41A3C" w:rsidRDefault="00B83FA2" w:rsidP="00B83FA2">
      <w:pPr>
        <w:pStyle w:val="SemEspaamento"/>
      </w:pPr>
    </w:p>
    <w:p w14:paraId="03FE148F" w14:textId="77777777" w:rsidR="00B83FA2" w:rsidRDefault="00B83FA2" w:rsidP="00B83FA2">
      <w:pPr>
        <w:pStyle w:val="SemEspaamento"/>
      </w:pPr>
    </w:p>
    <w:p w14:paraId="456761D4" w14:textId="77777777" w:rsidR="00B83FA2" w:rsidRDefault="00B83FA2" w:rsidP="00B83FA2">
      <w:pPr>
        <w:pStyle w:val="SemEspaamento"/>
      </w:pPr>
    </w:p>
    <w:p w14:paraId="2A20DE7B" w14:textId="24B3011B" w:rsidR="00B83FA2" w:rsidRPr="00A41A3C" w:rsidRDefault="00B83FA2" w:rsidP="00B83FA2">
      <w:pPr>
        <w:pStyle w:val="SemEspaamento"/>
        <w:jc w:val="center"/>
      </w:pPr>
      <w:r w:rsidRPr="00A41A3C">
        <w:t>Cláudia Aparecida Monteiro dos Santos</w:t>
      </w:r>
    </w:p>
    <w:p w14:paraId="207FD7D2" w14:textId="2905B230" w:rsidR="00715EDC" w:rsidRDefault="00B83FA2" w:rsidP="00B83FA2">
      <w:pPr>
        <w:pStyle w:val="SemEspaamento"/>
        <w:jc w:val="center"/>
      </w:pPr>
      <w:r w:rsidRPr="00A41A3C">
        <w:t>Secretária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3C33DE" w:rsidRDefault="003C33D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3C33DE" w:rsidRDefault="003C33D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3C33DE" w:rsidRDefault="003C33D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3C33DE" w:rsidRDefault="003C33D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3C33DE" w:rsidRDefault="003C33D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1A19"/>
    <w:rsid w:val="00025920"/>
    <w:rsid w:val="00031EEB"/>
    <w:rsid w:val="00034270"/>
    <w:rsid w:val="00052BCC"/>
    <w:rsid w:val="00077701"/>
    <w:rsid w:val="00086AF4"/>
    <w:rsid w:val="000C41A3"/>
    <w:rsid w:val="000D31FE"/>
    <w:rsid w:val="000E0B54"/>
    <w:rsid w:val="000F1624"/>
    <w:rsid w:val="00103155"/>
    <w:rsid w:val="00111CB4"/>
    <w:rsid w:val="00126B18"/>
    <w:rsid w:val="00140D88"/>
    <w:rsid w:val="001760A0"/>
    <w:rsid w:val="001B52CB"/>
    <w:rsid w:val="001C5CD2"/>
    <w:rsid w:val="001D750C"/>
    <w:rsid w:val="001F05AC"/>
    <w:rsid w:val="002136E5"/>
    <w:rsid w:val="0022668D"/>
    <w:rsid w:val="00236B8D"/>
    <w:rsid w:val="00287591"/>
    <w:rsid w:val="002A144E"/>
    <w:rsid w:val="002B7B97"/>
    <w:rsid w:val="00305BFB"/>
    <w:rsid w:val="00310350"/>
    <w:rsid w:val="003250CC"/>
    <w:rsid w:val="0032686E"/>
    <w:rsid w:val="00337742"/>
    <w:rsid w:val="00360C77"/>
    <w:rsid w:val="003845C2"/>
    <w:rsid w:val="003B06D9"/>
    <w:rsid w:val="003C33DE"/>
    <w:rsid w:val="003E1B33"/>
    <w:rsid w:val="004331DB"/>
    <w:rsid w:val="0045411D"/>
    <w:rsid w:val="00457703"/>
    <w:rsid w:val="00470775"/>
    <w:rsid w:val="00480DB9"/>
    <w:rsid w:val="00484D27"/>
    <w:rsid w:val="004873C4"/>
    <w:rsid w:val="00490B8F"/>
    <w:rsid w:val="00491624"/>
    <w:rsid w:val="00495297"/>
    <w:rsid w:val="004B4F63"/>
    <w:rsid w:val="004F0898"/>
    <w:rsid w:val="005204A1"/>
    <w:rsid w:val="00533F7C"/>
    <w:rsid w:val="0053437B"/>
    <w:rsid w:val="005405F9"/>
    <w:rsid w:val="00566B78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81746"/>
    <w:rsid w:val="006902AC"/>
    <w:rsid w:val="006B788B"/>
    <w:rsid w:val="0070367D"/>
    <w:rsid w:val="00715EDC"/>
    <w:rsid w:val="00746E38"/>
    <w:rsid w:val="0076367F"/>
    <w:rsid w:val="007A6E39"/>
    <w:rsid w:val="007C7524"/>
    <w:rsid w:val="007D4497"/>
    <w:rsid w:val="007E2DBA"/>
    <w:rsid w:val="007F6587"/>
    <w:rsid w:val="00804BD2"/>
    <w:rsid w:val="00857F16"/>
    <w:rsid w:val="00895564"/>
    <w:rsid w:val="008D121C"/>
    <w:rsid w:val="008E0C32"/>
    <w:rsid w:val="0090692B"/>
    <w:rsid w:val="009131E7"/>
    <w:rsid w:val="0092513B"/>
    <w:rsid w:val="00945271"/>
    <w:rsid w:val="0095411E"/>
    <w:rsid w:val="00957CC8"/>
    <w:rsid w:val="00963529"/>
    <w:rsid w:val="009868BE"/>
    <w:rsid w:val="009A0070"/>
    <w:rsid w:val="009A3FFD"/>
    <w:rsid w:val="009A7790"/>
    <w:rsid w:val="009B4279"/>
    <w:rsid w:val="009D452D"/>
    <w:rsid w:val="00A261D0"/>
    <w:rsid w:val="00A275F4"/>
    <w:rsid w:val="00A60BFE"/>
    <w:rsid w:val="00A67609"/>
    <w:rsid w:val="00AB1D0C"/>
    <w:rsid w:val="00AC5B92"/>
    <w:rsid w:val="00B00389"/>
    <w:rsid w:val="00B2023A"/>
    <w:rsid w:val="00B212EC"/>
    <w:rsid w:val="00B30B80"/>
    <w:rsid w:val="00B3346B"/>
    <w:rsid w:val="00B44110"/>
    <w:rsid w:val="00B67010"/>
    <w:rsid w:val="00B800D7"/>
    <w:rsid w:val="00B83DAE"/>
    <w:rsid w:val="00B83FA2"/>
    <w:rsid w:val="00BA35B1"/>
    <w:rsid w:val="00BF14B5"/>
    <w:rsid w:val="00C229CA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CF09D0"/>
    <w:rsid w:val="00D06E6C"/>
    <w:rsid w:val="00D119C1"/>
    <w:rsid w:val="00D176E6"/>
    <w:rsid w:val="00D2540E"/>
    <w:rsid w:val="00D317E6"/>
    <w:rsid w:val="00D3276B"/>
    <w:rsid w:val="00D403FC"/>
    <w:rsid w:val="00D44336"/>
    <w:rsid w:val="00D77A39"/>
    <w:rsid w:val="00D9044A"/>
    <w:rsid w:val="00DA2184"/>
    <w:rsid w:val="00DC1CFB"/>
    <w:rsid w:val="00DC1FA5"/>
    <w:rsid w:val="00DC30E0"/>
    <w:rsid w:val="00DC30F7"/>
    <w:rsid w:val="00DD3339"/>
    <w:rsid w:val="00DF1FF3"/>
    <w:rsid w:val="00E25891"/>
    <w:rsid w:val="00E55565"/>
    <w:rsid w:val="00E7391A"/>
    <w:rsid w:val="00E93806"/>
    <w:rsid w:val="00EA5028"/>
    <w:rsid w:val="00EB5A58"/>
    <w:rsid w:val="00EB5CFF"/>
    <w:rsid w:val="00EB5F59"/>
    <w:rsid w:val="00EB6666"/>
    <w:rsid w:val="00EB78A3"/>
    <w:rsid w:val="00EC05EE"/>
    <w:rsid w:val="00EC0891"/>
    <w:rsid w:val="00EE7DDD"/>
    <w:rsid w:val="00EF3A33"/>
    <w:rsid w:val="00F02960"/>
    <w:rsid w:val="00F23004"/>
    <w:rsid w:val="00F53CAA"/>
    <w:rsid w:val="00FB55B7"/>
    <w:rsid w:val="00FD05EC"/>
    <w:rsid w:val="00FD26FF"/>
    <w:rsid w:val="00FD650E"/>
    <w:rsid w:val="00FE05FB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3391B7B0-666D-4FC8-8BBD-C81BC62D7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60C7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2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</Pages>
  <Words>780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16</cp:revision>
  <cp:lastPrinted>2024-01-26T18:40:00Z</cp:lastPrinted>
  <dcterms:created xsi:type="dcterms:W3CDTF">2025-04-16T14:53:00Z</dcterms:created>
  <dcterms:modified xsi:type="dcterms:W3CDTF">2025-05-19T17:18:00Z</dcterms:modified>
</cp:coreProperties>
</file>